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  <w:tab/>
        <w:tab/>
        <w:tab/>
        <w:tab/>
        <w:t xml:space="preserve">B.COM II Sem-III</w:t>
        <w:tab/>
        <w:tab/>
        <w:tab/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</w:t>
        <w:tab/>
        <w:tab/>
        <w:tab/>
        <w:t xml:space="preserve">Corporate Accounting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</w:t>
        <w:tab/>
        <w:tab/>
        <w:tab/>
        <w:tab/>
        <w:tab/>
        <w:t xml:space="preserve">Topics</w:t>
        <w:tab/>
        <w:tab/>
        <w:tab/>
        <w:tab/>
        <w:tab/>
      </w:r>
    </w:p>
    <w:tbl>
      <w:tblPr>
        <w:tblStyle w:val="Table1"/>
        <w:tblW w:w="648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4941"/>
        <w:tblGridChange w:id="0">
          <w:tblGrid>
            <w:gridCol w:w="1548"/>
            <w:gridCol w:w="49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18 to 31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2018</w:t>
              <w:tab/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Accounting for share capital : issue of shares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August 2018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III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IV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forfeiture and reissue of forfeited shares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forfeiture and reissue of forfeited shares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Book building: concept &amp; process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issue of right and bonus shares; buy back of shares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September 2018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III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IV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redemption of preference shares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issue and redemption of debentures.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Final accounts of companies (excluding      computation of managerial remuneration)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Final accounts of companies (excluding computation of managerial remuneration)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October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III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IV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November 2018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I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Amalgamation of companies: concept and accounting treatment as per accounting standard 14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Amalgamation of companies: concept and     accounting treatment as per accounting standard 14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Internal reconstruction: concept and accounting treatment excluding scheme of reconstruction.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Internal reconstruction: concept and accounting treatment 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Preparation for final examination</w:t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